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964346">
        <w:rPr>
          <w:b/>
          <w:bCs/>
          <w:color w:val="000000"/>
          <w:sz w:val="24"/>
          <w:szCs w:val="24"/>
        </w:rPr>
        <w:t>ЛУКОВС</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6779E9" w:rsidP="002079DC">
            <w:pPr>
              <w:spacing w:before="100" w:beforeAutospacing="1"/>
              <w:rPr>
                <w:sz w:val="24"/>
                <w:szCs w:val="24"/>
              </w:rPr>
            </w:pPr>
            <w:r>
              <w:rPr>
                <w:color w:val="000000"/>
                <w:sz w:val="24"/>
                <w:szCs w:val="24"/>
              </w:rPr>
              <w:t>От  15</w:t>
            </w:r>
            <w:r w:rsidR="00EB468D" w:rsidRPr="007300D9">
              <w:rPr>
                <w:color w:val="000000"/>
                <w:sz w:val="24"/>
                <w:szCs w:val="24"/>
              </w:rPr>
              <w:t xml:space="preserve"> ноября 2018 года</w:t>
            </w:r>
          </w:p>
          <w:p w:rsidR="00EB468D" w:rsidRPr="007300D9" w:rsidRDefault="00EB468D" w:rsidP="003A4094">
            <w:pPr>
              <w:spacing w:before="100" w:beforeAutospacing="1" w:after="119"/>
              <w:rPr>
                <w:sz w:val="24"/>
                <w:szCs w:val="24"/>
              </w:rPr>
            </w:pPr>
            <w:r w:rsidRPr="007300D9">
              <w:rPr>
                <w:color w:val="000000"/>
                <w:sz w:val="24"/>
                <w:szCs w:val="24"/>
              </w:rPr>
              <w:t xml:space="preserve">с. </w:t>
            </w:r>
            <w:r w:rsidR="003A4094">
              <w:rPr>
                <w:color w:val="000000"/>
                <w:sz w:val="24"/>
                <w:szCs w:val="24"/>
              </w:rPr>
              <w:t>Луковец</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w:t>
            </w:r>
            <w:r w:rsidR="006779E9">
              <w:rPr>
                <w:color w:val="000000"/>
                <w:sz w:val="24"/>
                <w:szCs w:val="24"/>
              </w:rPr>
              <w:t>77</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sidR="00964346">
        <w:rPr>
          <w:kern w:val="1"/>
          <w:sz w:val="28"/>
          <w:szCs w:val="28"/>
        </w:rPr>
        <w:t>Луковс</w:t>
      </w:r>
      <w:r>
        <w:rPr>
          <w:kern w:val="1"/>
          <w:sz w:val="28"/>
          <w:szCs w:val="28"/>
        </w:rPr>
        <w:t>кого</w:t>
      </w:r>
    </w:p>
    <w:p w:rsidR="00EB468D" w:rsidRPr="00C72E27" w:rsidRDefault="00EB468D" w:rsidP="004F000C">
      <w:pPr>
        <w:ind w:firstLine="709"/>
        <w:rPr>
          <w:sz w:val="28"/>
          <w:szCs w:val="28"/>
        </w:rPr>
      </w:pPr>
      <w:r>
        <w:rPr>
          <w:kern w:val="1"/>
          <w:sz w:val="28"/>
          <w:szCs w:val="28"/>
        </w:rPr>
        <w:t xml:space="preserve">сельского поселения                                         </w:t>
      </w:r>
      <w:r w:rsidR="002C220A">
        <w:rPr>
          <w:kern w:val="1"/>
          <w:sz w:val="28"/>
          <w:szCs w:val="28"/>
        </w:rPr>
        <w:t>С.Н. Жерихов</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6779E9" w:rsidP="00A9609B">
      <w:pPr>
        <w:ind w:firstLine="5245"/>
        <w:rPr>
          <w:rFonts w:eastAsia="ヒラギノ角ゴ Pro W3"/>
          <w:sz w:val="24"/>
          <w:szCs w:val="24"/>
        </w:rPr>
      </w:pPr>
      <w:r>
        <w:rPr>
          <w:sz w:val="24"/>
          <w:szCs w:val="24"/>
        </w:rPr>
        <w:t>от 15.11.2018 № 77</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rFonts w:eastAsia="ヒラギノ角ゴ Pro W3"/>
          <w:sz w:val="24"/>
          <w:szCs w:val="24"/>
        </w:rPr>
        <w:t>Луковс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A4094" w:rsidRDefault="003A4094" w:rsidP="003A40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A4094" w:rsidRDefault="003A4094" w:rsidP="003A4094">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A4094" w:rsidRDefault="003A4094" w:rsidP="003A4094">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A4094" w:rsidRDefault="003A4094" w:rsidP="003A4094">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3A4094" w:rsidRDefault="003A4094" w:rsidP="003A4094">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3A4094" w:rsidRDefault="003A4094" w:rsidP="003A4094">
      <w:pPr>
        <w:autoSpaceDE w:val="0"/>
        <w:ind w:firstLine="567"/>
        <w:jc w:val="both"/>
        <w:rPr>
          <w:sz w:val="24"/>
          <w:szCs w:val="24"/>
        </w:rPr>
      </w:pPr>
      <w:r>
        <w:rPr>
          <w:sz w:val="24"/>
          <w:szCs w:val="24"/>
        </w:rPr>
        <w:t xml:space="preserve">3) график работы: </w:t>
      </w:r>
    </w:p>
    <w:p w:rsidR="003A4094" w:rsidRDefault="003A4094" w:rsidP="003A4094">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A4094" w:rsidRDefault="003A4094" w:rsidP="003A4094">
      <w:pPr>
        <w:tabs>
          <w:tab w:val="left" w:pos="3828"/>
        </w:tabs>
        <w:autoSpaceDE w:val="0"/>
        <w:ind w:firstLine="567"/>
        <w:jc w:val="both"/>
        <w:rPr>
          <w:sz w:val="24"/>
          <w:szCs w:val="24"/>
        </w:rPr>
      </w:pPr>
      <w:r>
        <w:rPr>
          <w:sz w:val="24"/>
          <w:szCs w:val="24"/>
        </w:rPr>
        <w:t>перерыв</w:t>
      </w:r>
      <w:r>
        <w:rPr>
          <w:sz w:val="24"/>
          <w:szCs w:val="24"/>
        </w:rPr>
        <w:tab/>
        <w:t>–   с 13:00 до 14:00;</w:t>
      </w:r>
    </w:p>
    <w:p w:rsidR="003A4094" w:rsidRDefault="003A4094" w:rsidP="003A4094">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A4094" w:rsidRDefault="003A4094" w:rsidP="003A4094">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3A4094" w:rsidRPr="00282039" w:rsidRDefault="003A4094" w:rsidP="003A40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B07FA5"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964346" w:rsidP="00A9609B">
      <w:pPr>
        <w:ind w:firstLine="5245"/>
        <w:rPr>
          <w:rFonts w:eastAsia="ヒラギノ角ゴ Pro W3"/>
          <w:sz w:val="24"/>
          <w:szCs w:val="24"/>
        </w:rPr>
      </w:pPr>
      <w:r>
        <w:rPr>
          <w:sz w:val="24"/>
          <w:szCs w:val="24"/>
        </w:rPr>
        <w:t>от 15.11.2018 № 77</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r w:rsidR="00964346">
        <w:rPr>
          <w:rFonts w:eastAsia="ヒラギノ角ゴ Pro W3"/>
          <w:sz w:val="24"/>
          <w:szCs w:val="24"/>
        </w:rPr>
        <w:t>Луковс</w:t>
      </w:r>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r w:rsidR="00964346">
        <w:rPr>
          <w:rFonts w:eastAsia="ヒラギノ角ゴ Pro W3"/>
          <w:sz w:val="24"/>
          <w:szCs w:val="24"/>
        </w:rPr>
        <w:t>Луковс</w:t>
      </w:r>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w:t>
      </w:r>
      <w:r w:rsidRPr="00FA3243">
        <w:rPr>
          <w:rFonts w:eastAsiaTheme="minorHAnsi"/>
          <w:sz w:val="24"/>
          <w:szCs w:val="24"/>
        </w:rPr>
        <w:lastRenderedPageBreak/>
        <w:t xml:space="preserve">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 xml:space="preserve">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w:t>
      </w:r>
      <w:r>
        <w:rPr>
          <w:sz w:val="24"/>
          <w:szCs w:val="24"/>
        </w:rPr>
        <w:lastRenderedPageBreak/>
        <w:t>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964346" w:rsidP="00A9609B">
      <w:pPr>
        <w:ind w:firstLine="5245"/>
        <w:rPr>
          <w:rFonts w:eastAsia="ヒラギノ角ゴ Pro W3"/>
          <w:sz w:val="24"/>
          <w:szCs w:val="24"/>
        </w:rPr>
      </w:pPr>
      <w:r>
        <w:rPr>
          <w:sz w:val="24"/>
          <w:szCs w:val="24"/>
        </w:rPr>
        <w:t>от 15.11.2018 № 77</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lastRenderedPageBreak/>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B07FA5"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964346" w:rsidP="00A9609B">
      <w:pPr>
        <w:ind w:firstLine="5245"/>
        <w:rPr>
          <w:rFonts w:eastAsia="ヒラギノ角ゴ Pro W3"/>
          <w:sz w:val="24"/>
          <w:szCs w:val="24"/>
        </w:rPr>
      </w:pPr>
      <w:r>
        <w:rPr>
          <w:sz w:val="24"/>
          <w:szCs w:val="24"/>
        </w:rPr>
        <w:t>от 15.11.2018 № 77</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964346">
        <w:rPr>
          <w:rFonts w:eastAsia="ヒラギノ角ゴ Pro W3"/>
          <w:sz w:val="24"/>
          <w:szCs w:val="24"/>
        </w:rPr>
        <w:t>Луковс</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lastRenderedPageBreak/>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lastRenderedPageBreak/>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w:t>
      </w:r>
      <w:r>
        <w:rPr>
          <w:sz w:val="24"/>
          <w:szCs w:val="24"/>
        </w:rPr>
        <w:lastRenderedPageBreak/>
        <w:t>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964346">
        <w:rPr>
          <w:sz w:val="24"/>
          <w:szCs w:val="24"/>
        </w:rPr>
        <w:t>Луковс</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B07FA5" w:rsidP="00A9609B">
      <w:pPr>
        <w:ind w:firstLine="709"/>
      </w:pPr>
      <w:r>
        <w:lastRenderedPageBreak/>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964346" w:rsidP="00A9609B">
      <w:pPr>
        <w:ind w:firstLine="5245"/>
        <w:rPr>
          <w:rFonts w:eastAsia="ヒラギノ角ゴ Pro W3"/>
          <w:sz w:val="24"/>
          <w:szCs w:val="24"/>
        </w:rPr>
      </w:pPr>
      <w:r>
        <w:rPr>
          <w:sz w:val="24"/>
          <w:szCs w:val="24"/>
        </w:rPr>
        <w:t>от 15.11.2018 № 77</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964346">
        <w:rPr>
          <w:rFonts w:eastAsia="ヒラギノ角ゴ Pro W3"/>
          <w:sz w:val="24"/>
          <w:szCs w:val="24"/>
        </w:rPr>
        <w:t>Луковс</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964346">
        <w:rPr>
          <w:sz w:val="24"/>
          <w:szCs w:val="24"/>
        </w:rPr>
        <w:t>Луковс</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964346">
        <w:rPr>
          <w:sz w:val="24"/>
          <w:szCs w:val="24"/>
        </w:rPr>
        <w:t>Луковс</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B07FA5" w:rsidP="009A53ED">
      <w:pPr>
        <w:spacing w:line="276" w:lineRule="auto"/>
        <w:rPr>
          <w:sz w:val="24"/>
          <w:szCs w:val="24"/>
        </w:rPr>
      </w:pPr>
      <w:r w:rsidRPr="00B07FA5">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964346" w:rsidP="00B97703">
      <w:pPr>
        <w:ind w:firstLine="5245"/>
        <w:rPr>
          <w:rFonts w:eastAsia="ヒラギノ角ゴ Pro W3"/>
          <w:sz w:val="24"/>
          <w:szCs w:val="24"/>
        </w:rPr>
      </w:pPr>
      <w:r>
        <w:rPr>
          <w:sz w:val="24"/>
          <w:szCs w:val="24"/>
        </w:rPr>
        <w:t>от 15</w:t>
      </w:r>
      <w:r w:rsidR="00B97703">
        <w:rPr>
          <w:sz w:val="24"/>
          <w:szCs w:val="24"/>
        </w:rPr>
        <w:t xml:space="preserve">.11.2018 № </w:t>
      </w:r>
      <w:r>
        <w:rPr>
          <w:sz w:val="24"/>
          <w:szCs w:val="24"/>
        </w:rPr>
        <w:t>77</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964346">
        <w:rPr>
          <w:sz w:val="24"/>
          <w:szCs w:val="24"/>
        </w:rPr>
        <w:t>Луковс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w:t>
      </w:r>
      <w:r w:rsidR="00964346">
        <w:rPr>
          <w:sz w:val="24"/>
          <w:szCs w:val="24"/>
        </w:rPr>
        <w:t>15.11.2018 № 77</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rFonts w:eastAsia="ヒラギノ角ゴ Pro W3"/>
          <w:sz w:val="24"/>
          <w:szCs w:val="24"/>
        </w:rPr>
        <w:t>Луковс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964346">
        <w:rPr>
          <w:sz w:val="24"/>
          <w:szCs w:val="24"/>
        </w:rPr>
        <w:t>Луковс</w:t>
      </w:r>
      <w:r w:rsidR="00BB5267">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964346" w:rsidRDefault="00964346"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964346" w:rsidP="00B97703">
      <w:pPr>
        <w:ind w:firstLine="5245"/>
        <w:rPr>
          <w:rFonts w:eastAsia="ヒラギノ角ゴ Pro W3"/>
          <w:sz w:val="24"/>
          <w:szCs w:val="24"/>
        </w:rPr>
      </w:pPr>
      <w:r>
        <w:rPr>
          <w:sz w:val="24"/>
          <w:szCs w:val="24"/>
        </w:rPr>
        <w:t>от 15.11.2018 № 77</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rFonts w:eastAsia="ヒラギノ角ゴ Pro W3"/>
          <w:sz w:val="24"/>
          <w:szCs w:val="24"/>
        </w:rPr>
        <w:t>Луковс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lastRenderedPageBreak/>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lastRenderedPageBreak/>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964346">
        <w:rPr>
          <w:sz w:val="24"/>
          <w:szCs w:val="24"/>
          <w:lang w:eastAsia="ru-RU"/>
        </w:rPr>
        <w:t>Луковс</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964346" w:rsidP="00B97703">
      <w:pPr>
        <w:ind w:firstLine="5245"/>
        <w:rPr>
          <w:rFonts w:eastAsia="ヒラギノ角ゴ Pro W3"/>
          <w:sz w:val="24"/>
          <w:szCs w:val="24"/>
        </w:rPr>
      </w:pPr>
      <w:r>
        <w:rPr>
          <w:sz w:val="24"/>
          <w:szCs w:val="24"/>
        </w:rPr>
        <w:t>от 15.11.2018 № 77</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lastRenderedPageBreak/>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964346" w:rsidP="0035295F">
      <w:pPr>
        <w:ind w:firstLine="5245"/>
        <w:rPr>
          <w:rFonts w:eastAsia="ヒラギノ角ゴ Pro W3"/>
          <w:sz w:val="24"/>
          <w:szCs w:val="24"/>
        </w:rPr>
      </w:pPr>
      <w:r>
        <w:rPr>
          <w:sz w:val="24"/>
          <w:szCs w:val="24"/>
        </w:rPr>
        <w:t>от 15.11.2018 № 77</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lastRenderedPageBreak/>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964346">
        <w:rPr>
          <w:sz w:val="24"/>
          <w:szCs w:val="24"/>
        </w:rPr>
        <w:t>Луковс</w:t>
      </w:r>
      <w:r w:rsidR="00BB5267">
        <w:rPr>
          <w:sz w:val="24"/>
          <w:szCs w:val="24"/>
        </w:rPr>
        <w:t>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964346">
        <w:rPr>
          <w:sz w:val="24"/>
          <w:szCs w:val="24"/>
        </w:rPr>
        <w:t>Луковс</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964346" w:rsidP="005D53BD">
      <w:pPr>
        <w:ind w:firstLine="5245"/>
        <w:rPr>
          <w:rFonts w:eastAsia="ヒラギノ角ゴ Pro W3"/>
          <w:sz w:val="24"/>
          <w:szCs w:val="24"/>
        </w:rPr>
      </w:pPr>
      <w:r>
        <w:rPr>
          <w:sz w:val="24"/>
          <w:szCs w:val="24"/>
        </w:rPr>
        <w:t>от 15.11.2018 № 77</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lastRenderedPageBreak/>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lastRenderedPageBreak/>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 xml:space="preserve">3.2.4. При установлении  фактов отсутствия необходимых документов или несоответствия представленных документов требованиям, указанным в настоящем </w:t>
      </w:r>
      <w:r>
        <w:rPr>
          <w:sz w:val="24"/>
          <w:szCs w:val="24"/>
        </w:rPr>
        <w:lastRenderedPageBreak/>
        <w:t>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lastRenderedPageBreak/>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 xml:space="preserve">3.2.14. Максимальный срок выполнения административных действий составляет 2 </w:t>
      </w:r>
      <w:r>
        <w:rPr>
          <w:color w:val="000000"/>
          <w:sz w:val="24"/>
          <w:szCs w:val="24"/>
        </w:rPr>
        <w:lastRenderedPageBreak/>
        <w:t>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 xml:space="preserve">предусмотренных статьей 39.16 </w:t>
      </w:r>
      <w:r w:rsidRPr="003976B9">
        <w:rPr>
          <w:sz w:val="24"/>
          <w:szCs w:val="24"/>
        </w:rPr>
        <w:lastRenderedPageBreak/>
        <w:t>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lastRenderedPageBreak/>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lastRenderedPageBreak/>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62882">
        <w:rPr>
          <w:rFonts w:eastAsiaTheme="minorHAnsi"/>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5D53BD">
      <w:pPr>
        <w:jc w:val="center"/>
      </w:pPr>
    </w:p>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964346" w:rsidP="005D53BD">
      <w:pPr>
        <w:ind w:firstLine="5245"/>
        <w:rPr>
          <w:rFonts w:eastAsia="ヒラギノ角ゴ Pro W3"/>
          <w:sz w:val="24"/>
          <w:szCs w:val="24"/>
        </w:rPr>
      </w:pPr>
      <w:r>
        <w:rPr>
          <w:sz w:val="24"/>
          <w:szCs w:val="24"/>
        </w:rPr>
        <w:t>от 15.11.2018 № 77</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964346">
        <w:rPr>
          <w:sz w:val="24"/>
          <w:szCs w:val="24"/>
        </w:rPr>
        <w:t>Луковс</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r w:rsidR="00964346">
        <w:rPr>
          <w:rFonts w:eastAsia="ヒラギノ角ゴ Pro W3"/>
          <w:sz w:val="24"/>
          <w:szCs w:val="24"/>
        </w:rPr>
        <w:t>Луковс</w:t>
      </w:r>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964346" w:rsidRDefault="00964346" w:rsidP="00964346">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964346" w:rsidRDefault="00964346" w:rsidP="00964346">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964346" w:rsidRDefault="00964346" w:rsidP="00964346">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2-63-41, 2-63-42</w:t>
      </w:r>
    </w:p>
    <w:p w:rsidR="00964346" w:rsidRDefault="00964346" w:rsidP="00964346">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2-63-41</w:t>
      </w:r>
    </w:p>
    <w:p w:rsidR="00964346" w:rsidRDefault="00964346" w:rsidP="00964346">
      <w:pPr>
        <w:autoSpaceDE w:val="0"/>
        <w:ind w:firstLine="567"/>
        <w:jc w:val="both"/>
        <w:rPr>
          <w:sz w:val="24"/>
          <w:szCs w:val="24"/>
        </w:rPr>
      </w:pPr>
      <w:r>
        <w:rPr>
          <w:sz w:val="24"/>
          <w:szCs w:val="24"/>
        </w:rPr>
        <w:t xml:space="preserve">3) график работы: </w:t>
      </w:r>
    </w:p>
    <w:p w:rsidR="00964346" w:rsidRDefault="00964346" w:rsidP="00964346">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964346" w:rsidRDefault="00964346" w:rsidP="00964346">
      <w:pPr>
        <w:tabs>
          <w:tab w:val="left" w:pos="3828"/>
        </w:tabs>
        <w:autoSpaceDE w:val="0"/>
        <w:ind w:firstLine="567"/>
        <w:jc w:val="both"/>
        <w:rPr>
          <w:sz w:val="24"/>
          <w:szCs w:val="24"/>
        </w:rPr>
      </w:pPr>
      <w:r>
        <w:rPr>
          <w:sz w:val="24"/>
          <w:szCs w:val="24"/>
        </w:rPr>
        <w:t>перерыв</w:t>
      </w:r>
      <w:r>
        <w:rPr>
          <w:sz w:val="24"/>
          <w:szCs w:val="24"/>
        </w:rPr>
        <w:tab/>
        <w:t>–   с 13:00 до 14:00;</w:t>
      </w:r>
    </w:p>
    <w:p w:rsidR="00964346" w:rsidRDefault="00964346" w:rsidP="00964346">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64346" w:rsidRDefault="00964346" w:rsidP="00964346">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964346">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964346">
        <w:rPr>
          <w:sz w:val="24"/>
          <w:szCs w:val="24"/>
        </w:rPr>
        <w:t>Луковс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964346">
        <w:rPr>
          <w:sz w:val="24"/>
          <w:szCs w:val="24"/>
        </w:rPr>
        <w:t>Луковс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964346">
        <w:rPr>
          <w:sz w:val="24"/>
          <w:szCs w:val="24"/>
        </w:rPr>
        <w:t>Луковс</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964346">
        <w:rPr>
          <w:rFonts w:eastAsiaTheme="minorHAnsi"/>
          <w:sz w:val="24"/>
          <w:szCs w:val="24"/>
        </w:rPr>
        <w:t>Луковс</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64346" w:rsidRPr="00282039" w:rsidRDefault="00964346" w:rsidP="00964346">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964346">
        <w:rPr>
          <w:sz w:val="24"/>
          <w:szCs w:val="24"/>
        </w:rPr>
        <w:t>Луковс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71E32"/>
    <w:rsid w:val="002818C2"/>
    <w:rsid w:val="0028781F"/>
    <w:rsid w:val="002B1A04"/>
    <w:rsid w:val="002C220A"/>
    <w:rsid w:val="002E315A"/>
    <w:rsid w:val="002F0B7C"/>
    <w:rsid w:val="00320C54"/>
    <w:rsid w:val="003343CA"/>
    <w:rsid w:val="003510BF"/>
    <w:rsid w:val="0035295F"/>
    <w:rsid w:val="00356447"/>
    <w:rsid w:val="003614CB"/>
    <w:rsid w:val="003A0B1F"/>
    <w:rsid w:val="003A4094"/>
    <w:rsid w:val="00430C98"/>
    <w:rsid w:val="004538E7"/>
    <w:rsid w:val="004F000C"/>
    <w:rsid w:val="00527C62"/>
    <w:rsid w:val="0053119D"/>
    <w:rsid w:val="00542E6D"/>
    <w:rsid w:val="00553989"/>
    <w:rsid w:val="0057647D"/>
    <w:rsid w:val="005B097F"/>
    <w:rsid w:val="005D53BD"/>
    <w:rsid w:val="005E7677"/>
    <w:rsid w:val="00602813"/>
    <w:rsid w:val="00621251"/>
    <w:rsid w:val="00634BB4"/>
    <w:rsid w:val="006779E9"/>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83E6A"/>
    <w:rsid w:val="008B5246"/>
    <w:rsid w:val="008B7925"/>
    <w:rsid w:val="008C788D"/>
    <w:rsid w:val="00914B5E"/>
    <w:rsid w:val="009178B3"/>
    <w:rsid w:val="009301F9"/>
    <w:rsid w:val="009427A9"/>
    <w:rsid w:val="00964346"/>
    <w:rsid w:val="00995F85"/>
    <w:rsid w:val="009A53ED"/>
    <w:rsid w:val="009B699C"/>
    <w:rsid w:val="009E2884"/>
    <w:rsid w:val="00A52139"/>
    <w:rsid w:val="00A9609B"/>
    <w:rsid w:val="00AD72AA"/>
    <w:rsid w:val="00AF3123"/>
    <w:rsid w:val="00AF6CDA"/>
    <w:rsid w:val="00B07FA5"/>
    <w:rsid w:val="00B22033"/>
    <w:rsid w:val="00B41027"/>
    <w:rsid w:val="00B472A7"/>
    <w:rsid w:val="00B60217"/>
    <w:rsid w:val="00B67778"/>
    <w:rsid w:val="00B97703"/>
    <w:rsid w:val="00BB5267"/>
    <w:rsid w:val="00BB770E"/>
    <w:rsid w:val="00BC2C8C"/>
    <w:rsid w:val="00BF3DAD"/>
    <w:rsid w:val="00C0778A"/>
    <w:rsid w:val="00C63B4A"/>
    <w:rsid w:val="00C656C1"/>
    <w:rsid w:val="00C828B0"/>
    <w:rsid w:val="00C8365B"/>
    <w:rsid w:val="00CE3D57"/>
    <w:rsid w:val="00D342A7"/>
    <w:rsid w:val="00D6001B"/>
    <w:rsid w:val="00DA4726"/>
    <w:rsid w:val="00DB0E96"/>
    <w:rsid w:val="00E26C2F"/>
    <w:rsid w:val="00E336C4"/>
    <w:rsid w:val="00E55184"/>
    <w:rsid w:val="00E669D0"/>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226</Pages>
  <Words>98524</Words>
  <Characters>561593</Characters>
  <Application>Microsoft Office Word</Application>
  <DocSecurity>0</DocSecurity>
  <Lines>4679</Lines>
  <Paragraphs>1317</Paragraphs>
  <ScaleCrop>false</ScaleCrop>
  <Company>Microsoft</Company>
  <LinksUpToDate>false</LinksUpToDate>
  <CharactersWithSpaces>658800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25</cp:revision>
  <dcterms:created xsi:type="dcterms:W3CDTF">2018-12-18T10:34:00Z</dcterms:created>
  <dcterms:modified xsi:type="dcterms:W3CDTF">2018-12-19T11:50:00Z</dcterms:modified>
</cp:coreProperties>
</file>