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714246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19050" t="0" r="6350" b="0"/>
                  <wp:wrapNone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030" w:rsidRPr="00887E27" w:rsidRDefault="00C122DC" w:rsidP="00887E27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2D1E9F" w:rsidRPr="00887E27">
              <w:rPr>
                <w:b/>
                <w:sz w:val="30"/>
                <w:szCs w:val="30"/>
              </w:rPr>
              <w:t xml:space="preserve">Отделение Социального фонда </w:t>
            </w:r>
            <w:r w:rsidRPr="00887E27">
              <w:rPr>
                <w:b/>
                <w:sz w:val="30"/>
                <w:szCs w:val="30"/>
              </w:rPr>
              <w:t>России</w:t>
            </w:r>
            <w:r w:rsidR="002D1E9F" w:rsidRPr="00887E27">
              <w:rPr>
                <w:b/>
                <w:sz w:val="30"/>
                <w:szCs w:val="30"/>
              </w:rPr>
              <w:t xml:space="preserve"> по Орловской области</w:t>
            </w:r>
          </w:p>
        </w:tc>
      </w:tr>
      <w:tr w:rsidR="00E43030" w:rsidTr="00A560E7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</w:t>
            </w: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43030" w:rsidRDefault="00E43030"/>
    <w:p w:rsidR="00E43030" w:rsidRDefault="00E43030">
      <w:pPr>
        <w:jc w:val="right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>Пресс-релиз</w:t>
      </w:r>
    </w:p>
    <w:p w:rsidR="000A18A7" w:rsidRDefault="000A18A7">
      <w:pPr>
        <w:jc w:val="right"/>
        <w:rPr>
          <w:rStyle w:val="oi732d6d"/>
          <w:b/>
          <w:sz w:val="28"/>
          <w:szCs w:val="28"/>
        </w:rPr>
      </w:pPr>
    </w:p>
    <w:p w:rsidR="000A18A7" w:rsidRDefault="000A18A7">
      <w:pPr>
        <w:jc w:val="right"/>
      </w:pPr>
    </w:p>
    <w:p w:rsidR="00064224" w:rsidRDefault="00064224" w:rsidP="00CF4ED8">
      <w:pPr>
        <w:widowControl/>
        <w:suppressAutoHyphens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ОСФР по Орловской области напоминает: до 15 апреля работодателям необходимо подтвердить основной вид экономической деятельности </w:t>
      </w:r>
    </w:p>
    <w:p w:rsidR="00064224" w:rsidRDefault="00064224" w:rsidP="00CF4ED8">
      <w:pPr>
        <w:widowControl/>
        <w:suppressAutoHyphens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3877B2" w:rsidRDefault="003877B2" w:rsidP="003877B2">
      <w:pPr>
        <w:widowControl/>
        <w:suppressAutoHyphens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Отделение Социального фонда России по Орловской области не позднее 15 апреля ждет сведения от страхователей региона, обязанных подтвердить основной</w:t>
      </w:r>
      <w:r w:rsidR="00064224">
        <w:rPr>
          <w:color w:val="000000"/>
          <w:sz w:val="26"/>
          <w:szCs w:val="26"/>
          <w:lang w:eastAsia="ru-RU"/>
        </w:rPr>
        <w:t xml:space="preserve"> вид экономической деятельности, </w:t>
      </w:r>
      <w:r>
        <w:rPr>
          <w:color w:val="000000"/>
          <w:sz w:val="26"/>
          <w:szCs w:val="26"/>
          <w:lang w:eastAsia="ru-RU"/>
        </w:rPr>
        <w:t>для установления тарифа взносов на обязательное социальное страхование от несчастных случаев на производстве и профзаболеваний.</w:t>
      </w:r>
    </w:p>
    <w:p w:rsidR="003877B2" w:rsidRDefault="003877B2" w:rsidP="003877B2">
      <w:pPr>
        <w:widowControl/>
        <w:suppressAutoHyphens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На сегодняшний день сведения направили уже 2777 страхователей. Информация нужна для того, чтобы страхователь не получил более высокий класс профессионального риска из заявленного им вида экономической деятельности, а значит и более высокий тариф страхового взноса, в случае несвоевременного подтверждения основного вида экономической деятельности (ОВЭД).</w:t>
      </w:r>
    </w:p>
    <w:p w:rsidR="003877B2" w:rsidRDefault="003877B2" w:rsidP="003877B2">
      <w:pPr>
        <w:widowControl/>
        <w:suppressAutoHyphens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Сообщить о виде экономической деятельности можно, направив в </w:t>
      </w:r>
      <w:r w:rsidR="00064224">
        <w:rPr>
          <w:color w:val="000000"/>
          <w:sz w:val="26"/>
          <w:szCs w:val="26"/>
          <w:lang w:eastAsia="ru-RU"/>
        </w:rPr>
        <w:t>ОСФР</w:t>
      </w:r>
      <w:r>
        <w:rPr>
          <w:color w:val="000000"/>
          <w:sz w:val="26"/>
          <w:szCs w:val="26"/>
          <w:lang w:eastAsia="ru-RU"/>
        </w:rPr>
        <w:t xml:space="preserve"> электронное заявление через портал </w:t>
      </w:r>
      <w:r w:rsidR="00064224">
        <w:rPr>
          <w:color w:val="000000"/>
          <w:sz w:val="26"/>
          <w:szCs w:val="26"/>
          <w:lang w:eastAsia="ru-RU"/>
        </w:rPr>
        <w:t>«Г</w:t>
      </w:r>
      <w:r>
        <w:rPr>
          <w:color w:val="000000"/>
          <w:sz w:val="26"/>
          <w:szCs w:val="26"/>
          <w:lang w:eastAsia="ru-RU"/>
        </w:rPr>
        <w:t>осуслуг</w:t>
      </w:r>
      <w:r w:rsidR="00064224">
        <w:rPr>
          <w:color w:val="000000"/>
          <w:sz w:val="26"/>
          <w:szCs w:val="26"/>
          <w:lang w:eastAsia="ru-RU"/>
        </w:rPr>
        <w:t>»</w:t>
      </w:r>
      <w:r>
        <w:rPr>
          <w:color w:val="000000"/>
          <w:sz w:val="26"/>
          <w:szCs w:val="26"/>
          <w:lang w:eastAsia="ru-RU"/>
        </w:rPr>
        <w:t xml:space="preserve">, личный кабинет страхователя, сервис </w:t>
      </w:r>
      <w:r w:rsidR="00064224">
        <w:rPr>
          <w:color w:val="000000"/>
          <w:sz w:val="26"/>
          <w:szCs w:val="26"/>
          <w:lang w:eastAsia="ru-RU"/>
        </w:rPr>
        <w:t>«</w:t>
      </w:r>
      <w:r>
        <w:rPr>
          <w:color w:val="000000"/>
          <w:sz w:val="26"/>
          <w:szCs w:val="26"/>
          <w:lang w:eastAsia="ru-RU"/>
        </w:rPr>
        <w:t>шлюз спецоператора</w:t>
      </w:r>
      <w:r w:rsidR="00064224">
        <w:rPr>
          <w:color w:val="000000"/>
          <w:sz w:val="26"/>
          <w:szCs w:val="26"/>
          <w:lang w:eastAsia="ru-RU"/>
        </w:rPr>
        <w:t>»</w:t>
      </w:r>
      <w:r>
        <w:rPr>
          <w:color w:val="000000"/>
          <w:sz w:val="26"/>
          <w:szCs w:val="26"/>
          <w:lang w:eastAsia="ru-RU"/>
        </w:rPr>
        <w:t xml:space="preserve">, а также на бумажном носителе через МФЦ, почту либо на личном приеме в клиентской службе СФР. </w:t>
      </w:r>
    </w:p>
    <w:p w:rsidR="003877B2" w:rsidRDefault="003877B2" w:rsidP="003877B2">
      <w:pPr>
        <w:widowControl/>
        <w:suppressAutoHyphens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Для подтверждения ОВЭД потребуются следующие документы:</w:t>
      </w:r>
    </w:p>
    <w:p w:rsidR="003877B2" w:rsidRDefault="003877B2" w:rsidP="003877B2">
      <w:pPr>
        <w:widowControl/>
        <w:suppressAutoHyphens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заявление о подтверждении основного вида экономической деятельности;</w:t>
      </w:r>
    </w:p>
    <w:p w:rsidR="003877B2" w:rsidRDefault="003877B2" w:rsidP="003877B2">
      <w:pPr>
        <w:widowControl/>
        <w:suppressAutoHyphens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справка-подтверждение основного вида экономической деятельности;</w:t>
      </w:r>
    </w:p>
    <w:p w:rsidR="003877B2" w:rsidRDefault="003877B2" w:rsidP="003877B2">
      <w:pPr>
        <w:widowControl/>
        <w:suppressAutoHyphens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копия пояснительной записки к бухгалтерскому балансу за предыдущий год (предоставляется  бюджетными организациями и организациями с численностью более 100 человек).</w:t>
      </w:r>
    </w:p>
    <w:p w:rsidR="000A4BAC" w:rsidRPr="000A4BAC" w:rsidRDefault="003877B2" w:rsidP="003877B2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>Через несколько дней работодателю придет уведомление о том, каков размер тарифа для уплаты страховых взносов, установленного ему в 2023 году. Напомним, он варьируется от 0,2% до 8,5%.</w:t>
      </w:r>
    </w:p>
    <w:sectPr w:rsidR="000A4BAC" w:rsidRPr="000A4BAC" w:rsidSect="00887E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99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34" w:rsidRDefault="00AF5634">
      <w:r>
        <w:separator/>
      </w:r>
    </w:p>
  </w:endnote>
  <w:endnote w:type="continuationSeparator" w:id="0">
    <w:p w:rsidR="00AF5634" w:rsidRDefault="00AF5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34" w:rsidRDefault="00AF5634">
      <w:r>
        <w:separator/>
      </w:r>
    </w:p>
  </w:footnote>
  <w:footnote w:type="continuationSeparator" w:id="0">
    <w:p w:rsidR="00AF5634" w:rsidRDefault="00AF5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6F70C7B"/>
    <w:multiLevelType w:val="multilevel"/>
    <w:tmpl w:val="FD1C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94ECA"/>
    <w:multiLevelType w:val="multilevel"/>
    <w:tmpl w:val="BCAC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36315"/>
    <w:rsid w:val="00063F99"/>
    <w:rsid w:val="00064224"/>
    <w:rsid w:val="00065DF1"/>
    <w:rsid w:val="000741A1"/>
    <w:rsid w:val="00082166"/>
    <w:rsid w:val="00087A2D"/>
    <w:rsid w:val="000A18A7"/>
    <w:rsid w:val="000A4BAC"/>
    <w:rsid w:val="000C3A38"/>
    <w:rsid w:val="000C4097"/>
    <w:rsid w:val="000C6D0F"/>
    <w:rsid w:val="000D14F5"/>
    <w:rsid w:val="00120A32"/>
    <w:rsid w:val="00174FCD"/>
    <w:rsid w:val="001B584E"/>
    <w:rsid w:val="001C224C"/>
    <w:rsid w:val="001C594B"/>
    <w:rsid w:val="001D26BB"/>
    <w:rsid w:val="002010CC"/>
    <w:rsid w:val="002255B3"/>
    <w:rsid w:val="0023787E"/>
    <w:rsid w:val="00237DF6"/>
    <w:rsid w:val="002517BF"/>
    <w:rsid w:val="0029525D"/>
    <w:rsid w:val="00296B68"/>
    <w:rsid w:val="002C2E68"/>
    <w:rsid w:val="002C4FA8"/>
    <w:rsid w:val="002D0485"/>
    <w:rsid w:val="002D1E9F"/>
    <w:rsid w:val="002D21AD"/>
    <w:rsid w:val="002E76AE"/>
    <w:rsid w:val="002F7E1E"/>
    <w:rsid w:val="00326E06"/>
    <w:rsid w:val="00341C98"/>
    <w:rsid w:val="00365133"/>
    <w:rsid w:val="003877B2"/>
    <w:rsid w:val="00390531"/>
    <w:rsid w:val="003A3B93"/>
    <w:rsid w:val="003B78F5"/>
    <w:rsid w:val="003C5F42"/>
    <w:rsid w:val="003D166F"/>
    <w:rsid w:val="003E09BD"/>
    <w:rsid w:val="003E346A"/>
    <w:rsid w:val="003E472A"/>
    <w:rsid w:val="003E4B27"/>
    <w:rsid w:val="003E530E"/>
    <w:rsid w:val="00404751"/>
    <w:rsid w:val="00431D3A"/>
    <w:rsid w:val="0044506B"/>
    <w:rsid w:val="0049734F"/>
    <w:rsid w:val="004B49FA"/>
    <w:rsid w:val="004C3F11"/>
    <w:rsid w:val="004E4E9B"/>
    <w:rsid w:val="004F0766"/>
    <w:rsid w:val="004F5509"/>
    <w:rsid w:val="00505801"/>
    <w:rsid w:val="00506461"/>
    <w:rsid w:val="0051497B"/>
    <w:rsid w:val="0051660D"/>
    <w:rsid w:val="0052536F"/>
    <w:rsid w:val="00525D90"/>
    <w:rsid w:val="00540E30"/>
    <w:rsid w:val="005444EE"/>
    <w:rsid w:val="00584486"/>
    <w:rsid w:val="00596A37"/>
    <w:rsid w:val="005A61F0"/>
    <w:rsid w:val="005B4AE0"/>
    <w:rsid w:val="005B79C8"/>
    <w:rsid w:val="005F0108"/>
    <w:rsid w:val="005F09C7"/>
    <w:rsid w:val="0061770C"/>
    <w:rsid w:val="00633AC8"/>
    <w:rsid w:val="00650B26"/>
    <w:rsid w:val="00684626"/>
    <w:rsid w:val="006C06E3"/>
    <w:rsid w:val="00714246"/>
    <w:rsid w:val="007159B7"/>
    <w:rsid w:val="007831A5"/>
    <w:rsid w:val="007B4688"/>
    <w:rsid w:val="007C534A"/>
    <w:rsid w:val="007C6532"/>
    <w:rsid w:val="00813FFF"/>
    <w:rsid w:val="00862B3C"/>
    <w:rsid w:val="008852EB"/>
    <w:rsid w:val="00887CA6"/>
    <w:rsid w:val="00887E27"/>
    <w:rsid w:val="0089504F"/>
    <w:rsid w:val="008A0E03"/>
    <w:rsid w:val="008A15EE"/>
    <w:rsid w:val="008A496F"/>
    <w:rsid w:val="008B68A4"/>
    <w:rsid w:val="008C2D20"/>
    <w:rsid w:val="008C36F2"/>
    <w:rsid w:val="008C51E6"/>
    <w:rsid w:val="008D2D58"/>
    <w:rsid w:val="008E2FF4"/>
    <w:rsid w:val="00942741"/>
    <w:rsid w:val="0095740E"/>
    <w:rsid w:val="00961F17"/>
    <w:rsid w:val="00964688"/>
    <w:rsid w:val="0099199B"/>
    <w:rsid w:val="00994503"/>
    <w:rsid w:val="009C390E"/>
    <w:rsid w:val="009D32B0"/>
    <w:rsid w:val="00A13996"/>
    <w:rsid w:val="00A33505"/>
    <w:rsid w:val="00A560E7"/>
    <w:rsid w:val="00A74430"/>
    <w:rsid w:val="00A839EF"/>
    <w:rsid w:val="00A90C4F"/>
    <w:rsid w:val="00A91EF4"/>
    <w:rsid w:val="00AB2504"/>
    <w:rsid w:val="00AB3EEA"/>
    <w:rsid w:val="00AD3409"/>
    <w:rsid w:val="00AD7A10"/>
    <w:rsid w:val="00AF5634"/>
    <w:rsid w:val="00B62706"/>
    <w:rsid w:val="00B638E4"/>
    <w:rsid w:val="00BA49AC"/>
    <w:rsid w:val="00BB7850"/>
    <w:rsid w:val="00BC3854"/>
    <w:rsid w:val="00BD590B"/>
    <w:rsid w:val="00C03168"/>
    <w:rsid w:val="00C122DC"/>
    <w:rsid w:val="00C21103"/>
    <w:rsid w:val="00C40FFB"/>
    <w:rsid w:val="00C42D03"/>
    <w:rsid w:val="00C62027"/>
    <w:rsid w:val="00C8266F"/>
    <w:rsid w:val="00C85CA9"/>
    <w:rsid w:val="00CC408A"/>
    <w:rsid w:val="00CE366D"/>
    <w:rsid w:val="00CF380E"/>
    <w:rsid w:val="00CF4ED8"/>
    <w:rsid w:val="00D1652C"/>
    <w:rsid w:val="00D37B02"/>
    <w:rsid w:val="00D47D7F"/>
    <w:rsid w:val="00D55D87"/>
    <w:rsid w:val="00D75EC0"/>
    <w:rsid w:val="00DA75DD"/>
    <w:rsid w:val="00DB6544"/>
    <w:rsid w:val="00DB78A1"/>
    <w:rsid w:val="00DC0FE6"/>
    <w:rsid w:val="00DD314D"/>
    <w:rsid w:val="00DE5DC4"/>
    <w:rsid w:val="00E43030"/>
    <w:rsid w:val="00E72945"/>
    <w:rsid w:val="00EA0DB9"/>
    <w:rsid w:val="00ED71D9"/>
    <w:rsid w:val="00F02DE3"/>
    <w:rsid w:val="00F03984"/>
    <w:rsid w:val="00F22638"/>
    <w:rsid w:val="00F523C2"/>
    <w:rsid w:val="00F60001"/>
    <w:rsid w:val="00FB13FE"/>
    <w:rsid w:val="00FD44E0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.05pt,.05pt,.05pt,.0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2023-03-30T08:16:00Z</cp:lastPrinted>
  <dcterms:created xsi:type="dcterms:W3CDTF">2023-04-05T09:42:00Z</dcterms:created>
  <dcterms:modified xsi:type="dcterms:W3CDTF">2023-04-05T09:42:00Z</dcterms:modified>
</cp:coreProperties>
</file>